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B4A5" w14:textId="77777777" w:rsidR="00632467" w:rsidRPr="00FA6C32" w:rsidRDefault="00632467" w:rsidP="00632467">
      <w:pPr>
        <w:shd w:val="clear" w:color="auto" w:fill="FFFFFF"/>
        <w:spacing w:before="100" w:beforeAutospacing="1" w:after="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6C32">
        <w:rPr>
          <w:rFonts w:ascii="Arial" w:hAnsi="Arial" w:cs="Arial"/>
          <w:sz w:val="32"/>
          <w:szCs w:val="32"/>
        </w:rPr>
        <w:t>Zácpa u dětí</w:t>
      </w:r>
    </w:p>
    <w:p w14:paraId="19031767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26A58ED4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Při </w:t>
      </w:r>
      <w:r w:rsidRPr="00FA6C32">
        <w:rPr>
          <w:rStyle w:val="articlekeyword"/>
          <w:rFonts w:ascii="Arial" w:eastAsiaTheme="majorEastAsia" w:hAnsi="Arial" w:cs="Arial"/>
        </w:rPr>
        <w:t>zácpě</w:t>
      </w:r>
      <w:r w:rsidRPr="00FA6C32">
        <w:rPr>
          <w:rFonts w:ascii="Arial" w:hAnsi="Arial" w:cs="Arial"/>
        </w:rPr>
        <w:t> (obstipaci) dochází ke zpožděnému nebo bolestivému vyprazdňování stolice. Trvá nejméně dva týdny a je doprovázena podstatnými negativní vlivy pro dítě. Trvá-li déle než dva měsíce, může to už být chronický problém. Léčba spočívá v akutních opatřeních a časté a dlouho trvající </w:t>
      </w:r>
      <w:r w:rsidRPr="00FA6C32">
        <w:rPr>
          <w:rStyle w:val="articlekeyword"/>
          <w:rFonts w:ascii="Arial" w:eastAsiaTheme="majorEastAsia" w:hAnsi="Arial" w:cs="Arial"/>
        </w:rPr>
        <w:t>medikamentózní léčbě</w:t>
      </w:r>
      <w:r w:rsidRPr="00FA6C32">
        <w:rPr>
          <w:rFonts w:ascii="Arial" w:hAnsi="Arial" w:cs="Arial"/>
        </w:rPr>
        <w:t>.</w:t>
      </w:r>
    </w:p>
    <w:p w14:paraId="38652EA3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</w:p>
    <w:p w14:paraId="1CBAF1F8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K definici zácpy se užívají tzv. Římská kritéria IV. Podle nich musí být přítomné minimálně dva následující příznaky trvající minimálně šest měsíců:</w:t>
      </w:r>
    </w:p>
    <w:p w14:paraId="4AE166E6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dvě nebo i méně vyprázdnění za týden,</w:t>
      </w:r>
    </w:p>
    <w:p w14:paraId="44355B0C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výrazné „zadržovací manévry“ (= snaha zamezit vyprazdňování stolice),</w:t>
      </w:r>
    </w:p>
    <w:p w14:paraId="4DF2BEDD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bolestivá nebo tvrdá stolice,</w:t>
      </w:r>
    </w:p>
    <w:p w14:paraId="74910683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více než jedna epizoda s bolestmi při stolici za týden,</w:t>
      </w:r>
    </w:p>
    <w:p w14:paraId="7AB3D4CF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při lékařské prohlídce konečníku nebo dutiny břišní hmatatelné množství stolice,</w:t>
      </w:r>
    </w:p>
    <w:p w14:paraId="5FF807E7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příležitostné vyprázdnění velkého množství stolice,</w:t>
      </w:r>
    </w:p>
    <w:p w14:paraId="495408C0" w14:textId="77777777" w:rsidR="00632467" w:rsidRPr="00FA6C32" w:rsidRDefault="00632467" w:rsidP="0063246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u dětí, které byly již „čisté“, minimálně jednou za týden „špinění stolicí“.</w:t>
      </w:r>
    </w:p>
    <w:p w14:paraId="37E093CE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</w:p>
    <w:p w14:paraId="3D930873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Četnost stolice je definováno relativně široce:</w:t>
      </w:r>
    </w:p>
    <w:p w14:paraId="4CB7E99C" w14:textId="77777777" w:rsidR="00632467" w:rsidRPr="00FA6C32" w:rsidRDefault="00632467" w:rsidP="00632467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u nekojených dětí a dětí všeobecně: 1× až 2x denně, až 3× za týden,</w:t>
      </w:r>
    </w:p>
    <w:p w14:paraId="4689EA9A" w14:textId="77777777" w:rsidR="00632467" w:rsidRPr="00FA6C32" w:rsidRDefault="00632467" w:rsidP="00632467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u kojených dětí 5× až 6x denně, až 1× za 14 dní.</w:t>
      </w:r>
    </w:p>
    <w:p w14:paraId="33F9E31F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148AF98D" w14:textId="77777777" w:rsidR="00632467" w:rsidRPr="00FA6C32" w:rsidRDefault="00632467" w:rsidP="00632467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Co způsobuje zácpu?</w:t>
      </w:r>
    </w:p>
    <w:p w14:paraId="32944F2B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Style w:val="articlekeyword"/>
          <w:rFonts w:ascii="Arial" w:eastAsiaTheme="majorEastAsia" w:hAnsi="Arial" w:cs="Arial"/>
        </w:rPr>
        <w:t>Zácpa</w:t>
      </w:r>
      <w:r w:rsidRPr="00FA6C32">
        <w:rPr>
          <w:rFonts w:ascii="Arial" w:hAnsi="Arial" w:cs="Arial"/>
        </w:rPr>
        <w:t> může mít různé příčiny a měla by být objasněná lékařem. U dětí starších jednoho roku jde asi v 90 % o </w:t>
      </w:r>
      <w:r w:rsidRPr="00FA6C32">
        <w:rPr>
          <w:rStyle w:val="Siln"/>
          <w:rFonts w:ascii="Arial" w:hAnsi="Arial" w:cs="Arial"/>
        </w:rPr>
        <w:t xml:space="preserve">funkční zácpu. V určitých případech může být zácpa v souvislosti s jiným onemocněním - </w:t>
      </w:r>
      <w:r w:rsidRPr="00FA6C32">
        <w:rPr>
          <w:rFonts w:ascii="Arial" w:hAnsi="Arial" w:cs="Arial"/>
        </w:rPr>
        <w:t>např. onemocnění střev, snížená funkce </w:t>
      </w:r>
      <w:r w:rsidRPr="00FA6C32">
        <w:rPr>
          <w:rStyle w:val="articlekeyword"/>
          <w:rFonts w:ascii="Arial" w:eastAsiaTheme="majorEastAsia" w:hAnsi="Arial" w:cs="Arial"/>
        </w:rPr>
        <w:t>štítné žlázy</w:t>
      </w:r>
      <w:r w:rsidRPr="00FA6C32">
        <w:rPr>
          <w:rFonts w:ascii="Arial" w:hAnsi="Arial" w:cs="Arial"/>
        </w:rPr>
        <w:t xml:space="preserve">.  </w:t>
      </w:r>
    </w:p>
    <w:p w14:paraId="7EAE0041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744CC36F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 xml:space="preserve">Exogenní narušující faktory, např.: </w:t>
      </w:r>
    </w:p>
    <w:p w14:paraId="3FF2630C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50CEA896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podráždění při utírání,</w:t>
      </w:r>
    </w:p>
    <w:p w14:paraId="23266B8B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změny denního režimu a okolí – nástup do MŠ, narození sourozence</w:t>
      </w:r>
    </w:p>
    <w:p w14:paraId="13F8804D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nedostatek tekutin a </w:t>
      </w:r>
      <w:r w:rsidRPr="00FA6C32">
        <w:rPr>
          <w:rStyle w:val="articlekeyword"/>
          <w:rFonts w:ascii="Arial" w:hAnsi="Arial" w:cs="Arial"/>
          <w:sz w:val="24"/>
          <w:szCs w:val="24"/>
        </w:rPr>
        <w:t>vlákniny</w:t>
      </w:r>
      <w:r w:rsidRPr="00FA6C32">
        <w:rPr>
          <w:rFonts w:ascii="Arial" w:hAnsi="Arial" w:cs="Arial"/>
          <w:sz w:val="24"/>
          <w:szCs w:val="24"/>
        </w:rPr>
        <w:t>,</w:t>
      </w:r>
    </w:p>
    <w:p w14:paraId="3F5EC46B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Style w:val="articlekeyword"/>
          <w:rFonts w:ascii="Arial" w:hAnsi="Arial" w:cs="Arial"/>
          <w:sz w:val="24"/>
          <w:szCs w:val="24"/>
        </w:rPr>
        <w:t>přechod</w:t>
      </w:r>
      <w:r w:rsidRPr="00FA6C32">
        <w:rPr>
          <w:rFonts w:ascii="Arial" w:hAnsi="Arial" w:cs="Arial"/>
          <w:sz w:val="24"/>
          <w:szCs w:val="24"/>
        </w:rPr>
        <w:t> ve stravě u kojence z mateřského mléka na umělou stravu,</w:t>
      </w:r>
    </w:p>
    <w:p w14:paraId="31A20A6C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určité léky,</w:t>
      </w:r>
    </w:p>
    <w:p w14:paraId="3076AB00" w14:textId="77777777" w:rsidR="00632467" w:rsidRPr="00FA6C32" w:rsidRDefault="00632467" w:rsidP="00632467">
      <w:pPr>
        <w:numPr>
          <w:ilvl w:val="0"/>
          <w:numId w:val="3"/>
        </w:numPr>
        <w:shd w:val="clear" w:color="auto" w:fill="FFFFFF"/>
        <w:spacing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primární psychické faktory, např. </w:t>
      </w:r>
      <w:r w:rsidRPr="00FA6C32">
        <w:rPr>
          <w:rStyle w:val="articlekeyword"/>
          <w:rFonts w:ascii="Arial" w:hAnsi="Arial" w:cs="Arial"/>
          <w:sz w:val="24"/>
          <w:szCs w:val="24"/>
        </w:rPr>
        <w:t>deprese</w:t>
      </w:r>
      <w:r w:rsidRPr="00FA6C32">
        <w:rPr>
          <w:rFonts w:ascii="Arial" w:hAnsi="Arial" w:cs="Arial"/>
          <w:sz w:val="24"/>
          <w:szCs w:val="24"/>
        </w:rPr>
        <w:t>, sexuální zneužití.</w:t>
      </w:r>
    </w:p>
    <w:p w14:paraId="538AE9B4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</w:p>
    <w:p w14:paraId="13347BE7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Často se objevují zejména následující příznaky:</w:t>
      </w:r>
    </w:p>
    <w:p w14:paraId="5F821AC4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Style w:val="articlekeyword"/>
          <w:rFonts w:ascii="Arial" w:hAnsi="Arial" w:cs="Arial"/>
          <w:sz w:val="24"/>
          <w:szCs w:val="24"/>
        </w:rPr>
        <w:t>bolesti břicha</w:t>
      </w:r>
      <w:r w:rsidRPr="00FA6C32">
        <w:rPr>
          <w:rFonts w:ascii="Arial" w:hAnsi="Arial" w:cs="Arial"/>
          <w:sz w:val="24"/>
          <w:szCs w:val="24"/>
        </w:rPr>
        <w:t>, většinou se opakující a krátce trvající,</w:t>
      </w:r>
    </w:p>
    <w:p w14:paraId="1D49C6D8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chybějící nutkání jít na stolici,</w:t>
      </w:r>
    </w:p>
    <w:p w14:paraId="325E06B0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bolesti při vyprazdňování,</w:t>
      </w:r>
    </w:p>
    <w:p w14:paraId="5C336CF2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stolice větších rozměrů a většinou tvrdá,</w:t>
      </w:r>
    </w:p>
    <w:p w14:paraId="3BE7660B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samovolný únik stolice,</w:t>
      </w:r>
    </w:p>
    <w:p w14:paraId="37427D94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natržení kůže (fisura) nebo </w:t>
      </w:r>
      <w:r w:rsidRPr="00FA6C32">
        <w:rPr>
          <w:rStyle w:val="articlekeyword"/>
          <w:rFonts w:ascii="Arial" w:hAnsi="Arial" w:cs="Arial"/>
          <w:sz w:val="24"/>
          <w:szCs w:val="24"/>
        </w:rPr>
        <w:t>záněty</w:t>
      </w:r>
      <w:r w:rsidRPr="00FA6C32">
        <w:rPr>
          <w:rFonts w:ascii="Arial" w:hAnsi="Arial" w:cs="Arial"/>
          <w:sz w:val="24"/>
          <w:szCs w:val="24"/>
        </w:rPr>
        <w:t> v okolí řitního otvoru,</w:t>
      </w:r>
    </w:p>
    <w:p w14:paraId="0CD8587B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stopy </w:t>
      </w:r>
      <w:r w:rsidRPr="00FA6C32">
        <w:rPr>
          <w:rStyle w:val="articlekeyword"/>
          <w:rFonts w:ascii="Arial" w:hAnsi="Arial" w:cs="Arial"/>
          <w:sz w:val="24"/>
          <w:szCs w:val="24"/>
        </w:rPr>
        <w:t>krve ve stolici</w:t>
      </w:r>
      <w:r w:rsidRPr="00FA6C32">
        <w:rPr>
          <w:rFonts w:ascii="Arial" w:hAnsi="Arial" w:cs="Arial"/>
          <w:sz w:val="24"/>
          <w:szCs w:val="24"/>
        </w:rPr>
        <w:t>,</w:t>
      </w:r>
    </w:p>
    <w:p w14:paraId="62C7259F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pomočování (enuréza),</w:t>
      </w:r>
    </w:p>
    <w:p w14:paraId="0CFB34C8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nevolnost, nadýmání</w:t>
      </w:r>
    </w:p>
    <w:p w14:paraId="1C24A557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zvětšené břicho,</w:t>
      </w:r>
    </w:p>
    <w:p w14:paraId="44E7B56D" w14:textId="77777777" w:rsidR="00632467" w:rsidRPr="00FA6C32" w:rsidRDefault="00632467" w:rsidP="00632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nechutenství,</w:t>
      </w:r>
    </w:p>
    <w:p w14:paraId="0827E0A1" w14:textId="77777777" w:rsidR="00632467" w:rsidRPr="00FA6C32" w:rsidRDefault="00632467" w:rsidP="00632467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Jak se stanoví diagnóza?</w:t>
      </w:r>
    </w:p>
    <w:p w14:paraId="7CE145A5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Zácpu lze stanovit většinou na základě anamnézy a pediatrického vyšetření. Někdy může být zapotřebí i vyšetření pomocí </w:t>
      </w:r>
      <w:r w:rsidRPr="00FA6C32">
        <w:rPr>
          <w:rStyle w:val="articlekeyword"/>
          <w:rFonts w:ascii="Arial" w:eastAsiaTheme="majorEastAsia" w:hAnsi="Arial" w:cs="Arial"/>
        </w:rPr>
        <w:t>ultrazvuku</w:t>
      </w:r>
      <w:r w:rsidRPr="00FA6C32">
        <w:rPr>
          <w:rFonts w:ascii="Arial" w:hAnsi="Arial" w:cs="Arial"/>
        </w:rPr>
        <w:t>, </w:t>
      </w:r>
      <w:r w:rsidRPr="00FA6C32">
        <w:rPr>
          <w:rStyle w:val="articlekeyword"/>
          <w:rFonts w:ascii="Arial" w:eastAsiaTheme="majorEastAsia" w:hAnsi="Arial" w:cs="Arial"/>
        </w:rPr>
        <w:t>rentgenu</w:t>
      </w:r>
      <w:r w:rsidRPr="00FA6C32">
        <w:rPr>
          <w:rFonts w:ascii="Arial" w:hAnsi="Arial" w:cs="Arial"/>
        </w:rPr>
        <w:t>, magnetické rezonance atd.</w:t>
      </w:r>
    </w:p>
    <w:p w14:paraId="6939BDE1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67365327" w14:textId="77777777" w:rsidR="00632467" w:rsidRPr="00FA6C32" w:rsidRDefault="00632467" w:rsidP="00632467">
      <w:pPr>
        <w:pStyle w:val="Nadpis2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Jak probíhá léčba zácpy?</w:t>
      </w:r>
    </w:p>
    <w:p w14:paraId="2A20E705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Nejprve by měly proběhnout akutní léčba k vyprázdnění střeva, následně </w:t>
      </w:r>
      <w:r w:rsidRPr="00FA6C32">
        <w:rPr>
          <w:rStyle w:val="articlekeyword"/>
          <w:rFonts w:ascii="Arial" w:eastAsiaTheme="majorEastAsia" w:hAnsi="Arial" w:cs="Arial"/>
        </w:rPr>
        <w:t>udržovací léčba</w:t>
      </w:r>
      <w:r w:rsidRPr="00FA6C32">
        <w:rPr>
          <w:rFonts w:ascii="Arial" w:hAnsi="Arial" w:cs="Arial"/>
        </w:rPr>
        <w:t> pomocí léků doprovázená vyváženou stravou s dostatečným příjmem tekutin. </w:t>
      </w:r>
    </w:p>
    <w:p w14:paraId="4B4B7B37" w14:textId="77777777" w:rsidR="00632467" w:rsidRPr="00FA6C32" w:rsidRDefault="00632467" w:rsidP="00632467">
      <w:pPr>
        <w:pStyle w:val="Nadpis3"/>
        <w:shd w:val="clear" w:color="auto" w:fill="FFFFFF"/>
        <w:spacing w:before="300" w:after="15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Akutní léčba</w:t>
      </w:r>
    </w:p>
    <w:p w14:paraId="29C2C300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lastRenderedPageBreak/>
        <w:t>K vyprázdnění konečníku dochází nejprve za pomoci ústně podávaných projímacích léků – nejlépe PEG (</w:t>
      </w:r>
      <w:proofErr w:type="spellStart"/>
      <w:r w:rsidRPr="00FA6C32">
        <w:rPr>
          <w:rFonts w:ascii="Arial" w:hAnsi="Arial" w:cs="Arial"/>
        </w:rPr>
        <w:t>polyethylenglykol</w:t>
      </w:r>
      <w:proofErr w:type="spellEnd"/>
      <w:r w:rsidRPr="00FA6C32">
        <w:rPr>
          <w:rFonts w:ascii="Arial" w:hAnsi="Arial" w:cs="Arial"/>
        </w:rPr>
        <w:t xml:space="preserve">, např. </w:t>
      </w:r>
      <w:proofErr w:type="spellStart"/>
      <w:r w:rsidRPr="00FA6C32">
        <w:rPr>
          <w:rFonts w:ascii="Arial" w:hAnsi="Arial" w:cs="Arial"/>
        </w:rPr>
        <w:t>Forlax</w:t>
      </w:r>
      <w:proofErr w:type="spellEnd"/>
      <w:r w:rsidRPr="00FA6C32">
        <w:rPr>
          <w:rFonts w:ascii="Arial" w:hAnsi="Arial" w:cs="Arial"/>
        </w:rPr>
        <w:t>) po dobu tří až šesti dnů.</w:t>
      </w:r>
    </w:p>
    <w:p w14:paraId="2FBF9E8F" w14:textId="77777777" w:rsidR="00632467" w:rsidRPr="00FA6C32" w:rsidRDefault="00632467" w:rsidP="00632467">
      <w:pPr>
        <w:pStyle w:val="Nadpis3"/>
        <w:shd w:val="clear" w:color="auto" w:fill="FFFFFF"/>
        <w:spacing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Udržovací léčba s projímavými prostředky:</w:t>
      </w:r>
    </w:p>
    <w:p w14:paraId="65329955" w14:textId="77777777" w:rsidR="00632467" w:rsidRPr="00FA6C32" w:rsidRDefault="00632467" w:rsidP="00632467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Po akutním vyprázdnění střeva by se měla podávat laxativa po dobu několika měsíců. K tomu jsou nasazovány přednostně PEG.</w:t>
      </w:r>
    </w:p>
    <w:p w14:paraId="6131335C" w14:textId="77777777" w:rsidR="00632467" w:rsidRPr="00FA6C32" w:rsidRDefault="00632467" w:rsidP="00632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Pro děti od čtyř let, které jsou vyvinuté způsobem odpovídajícím jejich věku, se doporučuje nestresující zkoušení chodit na toaletu:</w:t>
      </w:r>
    </w:p>
    <w:p w14:paraId="378C3653" w14:textId="77777777" w:rsidR="00632467" w:rsidRPr="00FA6C32" w:rsidRDefault="00632467" w:rsidP="00632467">
      <w:pPr>
        <w:pStyle w:val="ql-indent-1"/>
        <w:numPr>
          <w:ilvl w:val="0"/>
          <w:numId w:val="5"/>
        </w:numPr>
        <w:shd w:val="clear" w:color="auto" w:fill="FFFFFF"/>
        <w:spacing w:line="360" w:lineRule="auto"/>
        <w:ind w:left="1020"/>
        <w:rPr>
          <w:rFonts w:ascii="Arial" w:hAnsi="Arial" w:cs="Arial"/>
        </w:rPr>
      </w:pPr>
      <w:r w:rsidRPr="00FA6C32">
        <w:rPr>
          <w:rFonts w:ascii="Arial" w:hAnsi="Arial" w:cs="Arial"/>
        </w:rPr>
        <w:t>vyzvat k odchodu na toaletu 15 až 30 min. po hlavním jídle nebo při projevech nutkání jít na toaletu,</w:t>
      </w:r>
    </w:p>
    <w:p w14:paraId="190CE931" w14:textId="77777777" w:rsidR="00632467" w:rsidRPr="00FA6C32" w:rsidRDefault="00632467" w:rsidP="00632467">
      <w:pPr>
        <w:pStyle w:val="ql-indent-1"/>
        <w:numPr>
          <w:ilvl w:val="0"/>
          <w:numId w:val="5"/>
        </w:numPr>
        <w:shd w:val="clear" w:color="auto" w:fill="FFFFFF"/>
        <w:spacing w:line="360" w:lineRule="auto"/>
        <w:ind w:left="1020"/>
        <w:rPr>
          <w:rFonts w:ascii="Arial" w:hAnsi="Arial" w:cs="Arial"/>
        </w:rPr>
      </w:pPr>
      <w:r w:rsidRPr="00FA6C32">
        <w:rPr>
          <w:rFonts w:ascii="Arial" w:hAnsi="Arial" w:cs="Arial"/>
        </w:rPr>
        <w:t>odpoutání pozornosti, v případě, kdy dítě zkouší stolici „pozdržovat“,</w:t>
      </w:r>
    </w:p>
    <w:p w14:paraId="1F5ACAE1" w14:textId="77777777" w:rsidR="00632467" w:rsidRPr="00FA6C32" w:rsidRDefault="00632467" w:rsidP="00632467">
      <w:pPr>
        <w:pStyle w:val="ql-indent-1"/>
        <w:numPr>
          <w:ilvl w:val="0"/>
          <w:numId w:val="5"/>
        </w:numPr>
        <w:shd w:val="clear" w:color="auto" w:fill="FFFFFF"/>
        <w:spacing w:line="360" w:lineRule="auto"/>
        <w:ind w:left="1020"/>
        <w:rPr>
          <w:rFonts w:ascii="Arial" w:hAnsi="Arial" w:cs="Arial"/>
        </w:rPr>
      </w:pPr>
      <w:r w:rsidRPr="00FA6C32">
        <w:rPr>
          <w:rFonts w:ascii="Arial" w:hAnsi="Arial" w:cs="Arial"/>
        </w:rPr>
        <w:t>sezení, která netrvají déle než 5 až 10 min.,</w:t>
      </w:r>
    </w:p>
    <w:p w14:paraId="7925D78D" w14:textId="77777777" w:rsidR="00632467" w:rsidRPr="00FA6C32" w:rsidRDefault="00632467" w:rsidP="00632467">
      <w:pPr>
        <w:pStyle w:val="ql-indent-1"/>
        <w:numPr>
          <w:ilvl w:val="0"/>
          <w:numId w:val="5"/>
        </w:numPr>
        <w:shd w:val="clear" w:color="auto" w:fill="FFFFFF"/>
        <w:spacing w:line="360" w:lineRule="auto"/>
        <w:ind w:left="1020"/>
        <w:rPr>
          <w:rFonts w:ascii="Arial" w:hAnsi="Arial" w:cs="Arial"/>
        </w:rPr>
      </w:pPr>
      <w:r w:rsidRPr="00FA6C32">
        <w:rPr>
          <w:rFonts w:ascii="Arial" w:hAnsi="Arial" w:cs="Arial"/>
        </w:rPr>
        <w:t>vhodné posazení na toaletu s možností položit si nohy,</w:t>
      </w:r>
    </w:p>
    <w:p w14:paraId="3BCB36CE" w14:textId="77777777" w:rsidR="00632467" w:rsidRPr="00FA6C32" w:rsidRDefault="00632467" w:rsidP="00632467">
      <w:pPr>
        <w:pStyle w:val="ql-indent-1"/>
        <w:numPr>
          <w:ilvl w:val="0"/>
          <w:numId w:val="5"/>
        </w:numPr>
        <w:shd w:val="clear" w:color="auto" w:fill="FFFFFF"/>
        <w:spacing w:line="360" w:lineRule="auto"/>
        <w:ind w:left="1020"/>
        <w:rPr>
          <w:rFonts w:ascii="Arial" w:hAnsi="Arial" w:cs="Arial"/>
        </w:rPr>
      </w:pPr>
      <w:r w:rsidRPr="00FA6C32">
        <w:rPr>
          <w:rFonts w:ascii="Arial" w:hAnsi="Arial" w:cs="Arial"/>
        </w:rPr>
        <w:t>odměna za vykonanou stolici</w:t>
      </w:r>
    </w:p>
    <w:p w14:paraId="7E025CF7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/>
          <w:bCs/>
        </w:rPr>
      </w:pPr>
      <w:r w:rsidRPr="00FA6C32">
        <w:rPr>
          <w:rStyle w:val="articlekeyword"/>
          <w:rFonts w:ascii="Arial" w:eastAsiaTheme="majorEastAsia" w:hAnsi="Arial" w:cs="Arial"/>
          <w:b/>
        </w:rPr>
        <w:t>Prognóza</w:t>
      </w:r>
    </w:p>
    <w:p w14:paraId="3BB571A8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Navzdory terapii trpí zácpou stále i po dosažení věku pěti let ještě kolem 40 % léčených dětí, po dosažení deseti let věku je to stále ještě 20 až 30 %. Funkční zácpa je tedy v mnoha případech zdlouhavou záležitostí, která vyžaduje trpělivost</w:t>
      </w:r>
    </w:p>
    <w:p w14:paraId="3AD612AC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419725C1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5E902BB6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5BE9D3B6" w14:textId="77777777" w:rsidR="00632467" w:rsidRPr="00FA6C32" w:rsidRDefault="00632467" w:rsidP="0063246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346BCADA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2651EFF4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306F268E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3326D0EE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732A0EE7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2F8AA8F5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75808E5A" w14:textId="77777777" w:rsidR="00632467" w:rsidRPr="00FA6C32" w:rsidRDefault="00632467" w:rsidP="00632467">
      <w:pPr>
        <w:pStyle w:val="Nadpis1"/>
        <w:shd w:val="clear" w:color="auto" w:fill="FFFFFF"/>
        <w:spacing w:after="150"/>
        <w:rPr>
          <w:rFonts w:ascii="Segoe UI" w:hAnsi="Segoe UI" w:cs="Segoe UI"/>
        </w:rPr>
      </w:pPr>
    </w:p>
    <w:p w14:paraId="7A52B4B8" w14:textId="77777777" w:rsidR="00882A1B" w:rsidRPr="00632467" w:rsidRDefault="00882A1B" w:rsidP="004B4B7C"/>
    <w:sectPr w:rsidR="00882A1B" w:rsidRPr="00632467" w:rsidSect="004B4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A892" w14:textId="77777777" w:rsidR="00632467" w:rsidRDefault="00632467" w:rsidP="00B56842">
      <w:r>
        <w:separator/>
      </w:r>
    </w:p>
  </w:endnote>
  <w:endnote w:type="continuationSeparator" w:id="0">
    <w:p w14:paraId="14EFFB23" w14:textId="77777777" w:rsidR="00632467" w:rsidRDefault="00632467" w:rsidP="00B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3DD4" w14:textId="77777777" w:rsidR="00B56842" w:rsidRDefault="00B568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0A55" w14:textId="77777777" w:rsidR="00B56842" w:rsidRDefault="00B568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BEBB" w14:textId="77777777" w:rsidR="00B56842" w:rsidRDefault="00B56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DFAB" w14:textId="77777777" w:rsidR="00632467" w:rsidRDefault="00632467" w:rsidP="00B56842">
      <w:r>
        <w:separator/>
      </w:r>
    </w:p>
  </w:footnote>
  <w:footnote w:type="continuationSeparator" w:id="0">
    <w:p w14:paraId="05A33349" w14:textId="77777777" w:rsidR="00632467" w:rsidRDefault="00632467" w:rsidP="00B5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DEF8" w14:textId="77777777" w:rsidR="00B56842" w:rsidRDefault="00B56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5565" w14:textId="77777777" w:rsidR="00B56842" w:rsidRDefault="00B568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9547" w14:textId="77777777" w:rsidR="00B56842" w:rsidRDefault="00B568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5189"/>
    <w:multiLevelType w:val="multilevel"/>
    <w:tmpl w:val="7CB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6395E"/>
    <w:multiLevelType w:val="multilevel"/>
    <w:tmpl w:val="04C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F796E"/>
    <w:multiLevelType w:val="multilevel"/>
    <w:tmpl w:val="99E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C2FA7"/>
    <w:multiLevelType w:val="multilevel"/>
    <w:tmpl w:val="A68C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A2F46"/>
    <w:multiLevelType w:val="multilevel"/>
    <w:tmpl w:val="7B8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67"/>
    <w:rsid w:val="002B0F22"/>
    <w:rsid w:val="002E3532"/>
    <w:rsid w:val="003025D1"/>
    <w:rsid w:val="003E080B"/>
    <w:rsid w:val="004B4B7C"/>
    <w:rsid w:val="00632467"/>
    <w:rsid w:val="006D4C57"/>
    <w:rsid w:val="00882A1B"/>
    <w:rsid w:val="009154AD"/>
    <w:rsid w:val="00B56842"/>
    <w:rsid w:val="00CB151B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B547"/>
  <w15:chartTrackingRefBased/>
  <w15:docId w15:val="{11AAA6DA-3511-42B1-B1BD-4E74709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467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842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842"/>
    <w:rPr>
      <w:sz w:val="20"/>
      <w:lang w:val="de-DE"/>
    </w:rPr>
  </w:style>
  <w:style w:type="paragraph" w:styleId="Normlnweb">
    <w:name w:val="Normal (Web)"/>
    <w:basedOn w:val="Normln"/>
    <w:uiPriority w:val="99"/>
    <w:unhideWhenUsed/>
    <w:rsid w:val="006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2467"/>
    <w:rPr>
      <w:b/>
      <w:bCs/>
    </w:rPr>
  </w:style>
  <w:style w:type="character" w:customStyle="1" w:styleId="articlekeyword">
    <w:name w:val="article__keyword"/>
    <w:basedOn w:val="Standardnpsmoodstavce"/>
    <w:rsid w:val="00632467"/>
  </w:style>
  <w:style w:type="paragraph" w:customStyle="1" w:styleId="ql-indent-1">
    <w:name w:val="ql-indent-1"/>
    <w:basedOn w:val="Normln"/>
    <w:rsid w:val="006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Urvalek Vit (UniCredit CZ&amp;SK)</dc:creator>
  <cp:keywords/>
  <dc:description/>
  <cp:lastModifiedBy>Urvalek Vit (UniCredit CZ&amp;SK)</cp:lastModifiedBy>
  <cp:revision>1</cp:revision>
  <dcterms:created xsi:type="dcterms:W3CDTF">2021-02-10T15:08:00Z</dcterms:created>
  <dcterms:modified xsi:type="dcterms:W3CDTF">2021-02-10T15:08:00Z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2021-02-10T15:08:22Z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d9e3df37-6731-42ff-8ae9-abfa83a5b1ac</vt:lpwstr>
  </property>
  <property fmtid="{D5CDD505-2E9C-101B-9397-08002B2CF9AE}" pid="8" name="MSIP_Label_29db9e61-aac5-4f6e-805d-ceb8cb9983a1_ContentBits">
    <vt:lpwstr>0</vt:lpwstr>
  </property>
</Properties>
</file>